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XV</w:t>
      </w:r>
    </w:p>
    <w:p>
      <w:pPr>
        <w:pStyle w:val="Body"/>
        <w:bidi w:val="0"/>
      </w:pPr>
    </w:p>
    <w:p>
      <w:pPr>
        <w:pStyle w:val="Body"/>
        <w:spacing w:line="360" w:lineRule="auto"/>
        <w:rPr>
          <w:b w:val="1"/>
          <w:bCs w:val="1"/>
        </w:rPr>
      </w:pPr>
      <w:r>
        <w:tab/>
      </w:r>
      <w:r>
        <w:rPr>
          <w:rtl w:val="0"/>
          <w:lang w:val="it-IT"/>
        </w:rPr>
        <w:t xml:space="preserve">Postero die castra ex eo loco movent. Idem facit Caesar </w:t>
      </w:r>
      <w:r>
        <w:rPr>
          <w:b w:val="1"/>
          <w:bCs w:val="1"/>
          <w:rtl w:val="0"/>
          <w:lang w:val="es-ES_tradnl"/>
        </w:rPr>
        <w:t>equitatumque omnem</w:t>
      </w:r>
      <w:r>
        <w:rPr>
          <w:rtl w:val="0"/>
        </w:rPr>
        <w:t xml:space="preserve">, </w:t>
      </w:r>
      <w:r>
        <w:rPr>
          <w:b w:val="1"/>
          <w:bCs w:val="1"/>
          <w:rtl w:val="0"/>
        </w:rPr>
        <w:t>ad numerum</w:t>
      </w:r>
      <w:r>
        <w:rPr>
          <w:rtl w:val="0"/>
          <w:lang w:val="fr-FR"/>
        </w:rPr>
        <w:t xml:space="preserve"> quattuor milium, quem ex omni provincia et Haeduis atque eorum sociis coactum habebat, praemittit, qui videant quas in partes hostes iter faciant. </w:t>
      </w:r>
      <w:r>
        <w:rPr>
          <w:b w:val="1"/>
          <w:bCs w:val="1"/>
          <w:rtl w:val="0"/>
          <w:lang w:val="it-IT"/>
        </w:rPr>
        <w:t>Qui</w:t>
      </w:r>
      <w:r>
        <w:rPr>
          <w:rtl w:val="0"/>
        </w:rPr>
        <w:t xml:space="preserve"> cupidius </w:t>
      </w:r>
      <w:r>
        <w:rPr>
          <w:b w:val="1"/>
          <w:bCs w:val="1"/>
          <w:rtl w:val="0"/>
          <w:lang w:val="it-IT"/>
        </w:rPr>
        <w:t>novissimum</w:t>
      </w:r>
      <w:r>
        <w:rPr>
          <w:rtl w:val="0"/>
        </w:rPr>
        <w:t xml:space="preserve"> agmen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it-IT"/>
        </w:rPr>
        <w:t xml:space="preserve"> insecuti alieno loco cum equitatu Helvetiorum proelium committunt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it-IT"/>
        </w:rPr>
        <w:t xml:space="preserve">; et pauci de nostris cadunt. Quo proelio </w:t>
      </w:r>
      <w:r>
        <w:rPr>
          <w:b w:val="1"/>
          <w:bCs w:val="1"/>
          <w:rtl w:val="0"/>
          <w:lang w:val="pt-PT"/>
        </w:rPr>
        <w:t>sublati</w:t>
      </w:r>
      <w:r>
        <w:rPr>
          <w:rtl w:val="0"/>
          <w:lang w:val="it-IT"/>
        </w:rPr>
        <w:t xml:space="preserve"> Helvetii, quod </w:t>
      </w:r>
      <w:r>
        <w:rPr>
          <w:b w:val="1"/>
          <w:bCs w:val="1"/>
          <w:rtl w:val="0"/>
          <w:lang w:val="en-US"/>
        </w:rPr>
        <w:t>quingentis</w:t>
      </w:r>
      <w:r>
        <w:rPr>
          <w:rtl w:val="0"/>
          <w:lang w:val="it-IT"/>
        </w:rPr>
        <w:t xml:space="preserve"> equitibus tantam multitudinem equitum propulerant, audacius subsistere non numquam et novissimo agmine proelio </w:t>
      </w:r>
      <w:r>
        <w:rPr>
          <w:b w:val="1"/>
          <w:bCs w:val="1"/>
          <w:rtl w:val="0"/>
          <w:lang w:val="it-IT"/>
        </w:rPr>
        <w:t>nostros</w:t>
      </w:r>
      <w:r>
        <w:rPr>
          <w:rtl w:val="0"/>
          <w:lang w:val="nl-NL"/>
        </w:rPr>
        <w:t xml:space="preserve"> lacessere coeperunt. Caesar </w:t>
      </w:r>
      <w:r>
        <w:rPr>
          <w:b w:val="1"/>
          <w:bCs w:val="1"/>
          <w:rtl w:val="0"/>
        </w:rPr>
        <w:t>suos</w:t>
      </w:r>
      <w:r>
        <w:rPr>
          <w:rtl w:val="0"/>
          <w:lang w:val="es-ES_tradnl"/>
        </w:rPr>
        <w:t xml:space="preserve"> a proelio continebat, ac satis habebat </w:t>
      </w:r>
      <w:r>
        <w:rPr>
          <w:b w:val="1"/>
          <w:bCs w:val="1"/>
          <w:rtl w:val="0"/>
          <w:lang w:val="it-IT"/>
        </w:rPr>
        <w:t>in praesentia</w:t>
      </w:r>
      <w:r>
        <w:rPr>
          <w:rtl w:val="0"/>
          <w:lang w:val="fr-FR"/>
        </w:rPr>
        <w:t xml:space="preserve"> hostem rapinis, pabulationibus populationibusque prohibere. Ita dies circiter </w:t>
      </w:r>
      <w:r>
        <w:rPr>
          <w:b w:val="1"/>
          <w:bCs w:val="1"/>
          <w:rtl w:val="0"/>
          <w:lang w:val="fr-FR"/>
        </w:rPr>
        <w:t>XV</w:t>
      </w:r>
      <w:r>
        <w:rPr>
          <w:rtl w:val="0"/>
          <w:lang w:val="it-IT"/>
        </w:rPr>
        <w:t xml:space="preserve"> iter fecerunt </w:t>
      </w:r>
      <w:r>
        <w:rPr>
          <w:b w:val="1"/>
          <w:bCs w:val="1"/>
          <w:rtl w:val="0"/>
        </w:rPr>
        <w:t>uti</w:t>
      </w:r>
      <w:r>
        <w:rPr>
          <w:rtl w:val="0"/>
          <w:lang w:val="pt-PT"/>
        </w:rPr>
        <w:t xml:space="preserve"> inter novissimum hostium agmen et </w:t>
      </w:r>
      <w:r>
        <w:rPr>
          <w:b w:val="1"/>
          <w:bCs w:val="1"/>
          <w:rtl w:val="0"/>
        </w:rPr>
        <w:t>nostrum primum</w:t>
      </w:r>
      <w:r>
        <w:rPr>
          <w:rtl w:val="0"/>
          <w:lang w:val="fr-FR"/>
        </w:rPr>
        <w:t xml:space="preserve"> non amplius quinis aut senis milibus passuum </w:t>
      </w:r>
      <w:r>
        <w:rPr>
          <w:b w:val="1"/>
          <w:bCs w:val="1"/>
          <w:rtl w:val="0"/>
        </w:rPr>
        <w:t>interesset.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idem: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same thing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ad numerum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 xml:space="preserve">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up to</w:t>
      </w:r>
      <w:r>
        <w:rPr>
          <w:rFonts w:hAnsi="Helvetica" w:hint="default"/>
          <w:b w:val="0"/>
          <w:bCs w:val="0"/>
          <w:rtl w:val="0"/>
          <w:lang w:val="en-US"/>
        </w:rPr>
        <w:t>…</w:t>
      </w:r>
      <w:r>
        <w:rPr>
          <w:b w:val="0"/>
          <w:bCs w:val="0"/>
          <w:rtl w:val="0"/>
          <w:lang w:val="en-US"/>
        </w:rPr>
        <w:t>in number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equitatumque: </w:t>
      </w:r>
      <w:r>
        <w:rPr>
          <w:b w:val="0"/>
          <w:bCs w:val="0"/>
          <w:i w:val="1"/>
          <w:iCs w:val="1"/>
          <w:rtl w:val="0"/>
          <w:lang w:val="en-US"/>
        </w:rPr>
        <w:t xml:space="preserve">verb is </w:t>
      </w:r>
      <w:r>
        <w:rPr>
          <w:b w:val="1"/>
          <w:bCs w:val="1"/>
          <w:i w:val="1"/>
          <w:iCs w:val="1"/>
          <w:rtl w:val="0"/>
          <w:lang w:val="en-US"/>
        </w:rPr>
        <w:t>praemittit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novissimum: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last/nearest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nostris: </w:t>
      </w:r>
      <w:r>
        <w:rPr>
          <w:b w:val="0"/>
          <w:bCs w:val="0"/>
          <w:i w:val="1"/>
          <w:iCs w:val="1"/>
          <w:rtl w:val="0"/>
          <w:lang w:val="en-US"/>
        </w:rPr>
        <w:t>substantive use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qui</w:t>
      </w:r>
      <w:r>
        <w:rPr>
          <w:b w:val="1"/>
          <w:bCs w:val="1"/>
          <w:i w:val="1"/>
          <w:iCs w:val="1"/>
          <w:rtl w:val="0"/>
          <w:lang w:val="en-US"/>
        </w:rPr>
        <w:t xml:space="preserve">: </w:t>
      </w:r>
      <w:r>
        <w:rPr>
          <w:b w:val="0"/>
          <w:bCs w:val="0"/>
          <w:i w:val="1"/>
          <w:iCs w:val="1"/>
          <w:rtl w:val="0"/>
          <w:lang w:val="en-US"/>
        </w:rPr>
        <w:t xml:space="preserve">refers to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cavalry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quingentis: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five hundred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non numquam: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occasionally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sublati: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encouraged/elated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nostros: </w:t>
      </w:r>
      <w:r>
        <w:rPr>
          <w:b w:val="0"/>
          <w:bCs w:val="0"/>
          <w:i w:val="1"/>
          <w:iCs w:val="1"/>
          <w:rtl w:val="0"/>
          <w:lang w:val="en-US"/>
        </w:rPr>
        <w:t>substantive use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in praesentia: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for the moment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suos: </w:t>
      </w:r>
      <w:r>
        <w:rPr>
          <w:b w:val="0"/>
          <w:bCs w:val="0"/>
          <w:i w:val="1"/>
          <w:iCs w:val="1"/>
          <w:rtl w:val="0"/>
          <w:lang w:val="en-US"/>
        </w:rPr>
        <w:t>substantive use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XV: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fifteen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, </w:t>
      </w:r>
      <w:r>
        <w:rPr>
          <w:b w:val="0"/>
          <w:bCs w:val="0"/>
          <w:i w:val="1"/>
          <w:iCs w:val="1"/>
          <w:rtl w:val="0"/>
          <w:lang w:val="en-US"/>
        </w:rPr>
        <w:t xml:space="preserve">goes with </w:t>
      </w:r>
      <w:r>
        <w:rPr>
          <w:b w:val="1"/>
          <w:bCs w:val="1"/>
          <w:i w:val="1"/>
          <w:iCs w:val="1"/>
          <w:rtl w:val="0"/>
          <w:lang w:val="en-US"/>
        </w:rPr>
        <w:t>dies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uti: </w:t>
      </w:r>
      <w:r>
        <w:rPr>
          <w:b w:val="0"/>
          <w:bCs w:val="0"/>
          <w:i w:val="1"/>
          <w:iCs w:val="1"/>
          <w:rtl w:val="0"/>
          <w:lang w:val="en-US"/>
        </w:rPr>
        <w:t>alternate form of</w:t>
      </w:r>
      <w:r>
        <w:rPr>
          <w:b w:val="1"/>
          <w:bCs w:val="1"/>
          <w:i w:val="1"/>
          <w:iCs w:val="1"/>
          <w:rtl w:val="0"/>
          <w:lang w:val="en-US"/>
        </w:rPr>
        <w:t xml:space="preserve"> ut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nostrum primum: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our front battle line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quinis aut senis: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five or six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i w:val="1"/>
          <w:iCs w:val="1"/>
          <w:rtl w:val="0"/>
          <w:lang w:val="en-US"/>
        </w:rPr>
        <w:t xml:space="preserve">with </w:t>
      </w:r>
      <w:r>
        <w:rPr>
          <w:b w:val="1"/>
          <w:bCs w:val="1"/>
          <w:i w:val="1"/>
          <w:iCs w:val="1"/>
          <w:rtl w:val="0"/>
          <w:lang w:val="en-US"/>
        </w:rPr>
        <w:t>milibus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amplius: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further/greater than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interesset: </w:t>
      </w:r>
      <w:r>
        <w:rPr>
          <w:b w:val="0"/>
          <w:bCs w:val="0"/>
          <w:i w:val="1"/>
          <w:iCs w:val="1"/>
          <w:rtl w:val="0"/>
          <w:lang w:val="en-US"/>
        </w:rPr>
        <w:t xml:space="preserve">from </w:t>
      </w:r>
      <w:r>
        <w:rPr>
          <w:b w:val="1"/>
          <w:bCs w:val="1"/>
          <w:i w:val="1"/>
          <w:iCs w:val="1"/>
          <w:rtl w:val="0"/>
          <w:lang w:val="en-US"/>
        </w:rPr>
        <w:t xml:space="preserve">intersum </w:t>
      </w:r>
      <w:r>
        <w:rPr>
          <w:b w:val="0"/>
          <w:bCs w:val="0"/>
          <w:i w:val="1"/>
          <w:iCs w:val="1"/>
          <w:rtl w:val="0"/>
          <w:lang w:val="en-US"/>
        </w:rPr>
        <w:t xml:space="preserve">and as a special meaning,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there is an interval/space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novissimum agmen: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refers to the long line of Helvetians on the march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—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 Roman cavalry catch up with the very end of the line, and engage them in battle. 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proelium committere: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to join in battle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